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5726" w:right="0" w:hanging="0"/>
        <w:jc w:val="center"/>
        <w:rPr/>
      </w:pPr>
      <w:r>
        <w:rPr/>
        <w:t>«УТВЕРЖД</w:t>
      </w:r>
      <w:r>
        <w:rPr/>
        <w:t>ЕНО</w:t>
      </w:r>
      <w:r>
        <w:rPr/>
        <w:t>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26" w:right="0" w:hanging="0"/>
        <w:jc w:val="center"/>
        <w:rPr/>
      </w:pPr>
      <w:r>
        <w:rPr/>
        <w:t>Приказом г</w:t>
      </w:r>
      <w:r>
        <w:rPr/>
        <w:t>енеральн</w:t>
      </w:r>
      <w:r>
        <w:rPr/>
        <w:t xml:space="preserve">ого </w:t>
      </w:r>
      <w:r>
        <w:rPr/>
        <w:t>директор</w:t>
      </w:r>
      <w:r>
        <w:rPr/>
        <w:t>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26" w:right="0" w:hanging="0"/>
        <w:jc w:val="center"/>
        <w:rPr/>
      </w:pPr>
      <w:r>
        <w:rPr/>
        <w:t>АО «Комдрагметалл РС(Я)»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26" w:right="0" w:hanging="0"/>
        <w:jc w:val="center"/>
        <w:rPr/>
      </w:pPr>
      <w:r>
        <w:rPr/>
        <w:t>03.02.</w:t>
      </w:r>
      <w:r>
        <w:rPr/>
        <w:t xml:space="preserve">2025 г. </w:t>
      </w:r>
      <w:r>
        <w:rPr/>
        <w:t>№33 ОД/п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Положение о системе поощрения постоянных покупателей </w:t>
      </w:r>
    </w:p>
    <w:p>
      <w:pPr>
        <w:pStyle w:val="Normal"/>
        <w:jc w:val="center"/>
        <w:rPr>
          <w:b/>
        </w:rPr>
      </w:pPr>
      <w:r>
        <w:rPr>
          <w:b/>
        </w:rPr>
        <w:t>ювелирной сети «Бриллианты Якутии»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64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1.1. Настоящее Положение определяет условия действия дисконтной программы «Первый» ювелирной сети АО «Комдрагметалл РС(Я)» «Бриллианты Якутии» в виде предоставления бонусов постоянным покупателям. 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1.2. Термины и определения, используемые в настоящем Положении: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Бонус  —</w:t>
      </w:r>
      <w:r>
        <w:rPr>
          <w:shd w:fill="auto" w:val="clear"/>
        </w:rPr>
        <w:t xml:space="preserve"> индивидуальная дополнительная скидка для покупателя, уменьшающая цену товара за счет начислений от совершенных ранее покупок, в размере и на условиях, оговоренных настоящим Положением.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Постоянный покупатель ювелирной сети — физическое лицо, совершившее покупку и предоставившее персональные данные для оформления карты лояльности.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Конфиденциальность персональных данных – обязательное для соблюдения компании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Карта лояльности «Первый» – учетный инструмент, позволяющий постоянному покупателю пользоваться ценовыми преимуществами при совершении покупок.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Оповещение постоянных покупателей — </w:t>
      </w:r>
      <w:r>
        <w:rPr>
          <w:color w:val="000000"/>
          <w:shd w:fill="auto" w:val="clear"/>
        </w:rPr>
        <w:t>e-mail,</w:t>
      </w:r>
      <w:r>
        <w:rPr>
          <w:shd w:fill="auto" w:val="clear"/>
        </w:rPr>
        <w:t xml:space="preserve"> SMS- или Telegram- рассылка по e-адресам и телефонным номерам, предос</w:t>
      </w:r>
      <w:r>
        <w:rPr/>
        <w:t>тавленным при заполнении анкеты (персональные данные) владельца карты лояльности, с приглашением совершить покупку или информацией по изменению ассортимента ювелирных магазинов-салонов.</w:t>
      </w:r>
    </w:p>
    <w:p>
      <w:pPr>
        <w:pStyle w:val="Normal"/>
        <w:spacing w:lineRule="auto" w:line="264"/>
        <w:ind w:left="0" w:right="0" w:firstLine="72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ЮТД - программный комплекс «Ювелирный Торговый Дом», предназначенный для автоматизации оптовой и розничной торговли ювелирными изделиями на платформе 1С, и введенный для учета в АО «Комдрагметалл РС(Я)». </w:t>
      </w:r>
    </w:p>
    <w:p>
      <w:pPr>
        <w:pStyle w:val="Normal"/>
        <w:spacing w:lineRule="auto" w:line="264"/>
        <w:ind w:left="0" w:right="0" w:firstLine="72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1.3. Настоящее положение размещается на сайтах АО «Комдрагметалл РС(Я)» - </w:t>
      </w:r>
      <w:bookmarkStart w:id="0" w:name="__DdeLink__13136_2091926729"/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www.комдрагметалл.рф.</w:t>
      </w:r>
      <w:bookmarkEnd w:id="0"/>
    </w:p>
    <w:p>
      <w:pPr>
        <w:pStyle w:val="Normal"/>
        <w:spacing w:lineRule="auto" w:line="264"/>
        <w:ind w:left="0" w:right="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64"/>
        <w:ind w:left="0" w:right="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64"/>
        <w:ind w:left="0" w:right="0" w:firstLine="720"/>
        <w:jc w:val="center"/>
        <w:rPr>
          <w:b/>
          <w:bCs/>
        </w:rPr>
      </w:pPr>
      <w:r>
        <w:rPr>
          <w:b/>
          <w:bCs/>
        </w:rPr>
        <w:t>2. Цель и задачи системы поощрения</w:t>
      </w:r>
    </w:p>
    <w:p>
      <w:pPr>
        <w:pStyle w:val="Normal"/>
        <w:spacing w:lineRule="auto" w:line="264"/>
        <w:ind w:left="0" w:right="0" w:firstLine="720"/>
        <w:jc w:val="center"/>
        <w:rPr>
          <w:b/>
          <w:bCs/>
        </w:rPr>
      </w:pPr>
      <w:r>
        <w:rPr>
          <w:b/>
          <w:bCs/>
        </w:rPr>
        <w:t>постоянных покупателей.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2.1. Повышение выручки в ювелирной сети «Бриллианты Якутии» за счет стимулирования повторных покупок.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2.2. Формирование круга постоянных покупателей ювелирной сети «Бриллианты Якутии».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2.3. Создание массива данных для проведения маркетингового анализа: выявления предпочтений покупателей в зависимости от пола, возраста. Определение наиболее продаваемых ювелирных изделий, сертифицированных бриллиантов и сувениров по их характеристикам (вид, артикул, проба, стоимость), по месту продажи.  </w:t>
      </w:r>
    </w:p>
    <w:p>
      <w:pPr>
        <w:pStyle w:val="Normal"/>
        <w:spacing w:lineRule="auto" w:line="264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64"/>
        <w:ind w:left="0" w:right="0" w:firstLine="720"/>
        <w:jc w:val="center"/>
        <w:rPr>
          <w:b/>
          <w:bCs/>
        </w:rPr>
      </w:pPr>
      <w:r>
        <w:rPr>
          <w:b/>
          <w:bCs/>
        </w:rPr>
        <w:t>3. Выдача карт лояльности.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3.1. Карту лояльности оформляет работник ювелирного магазина-салона сети «Бриллианты Якутии» при совершении первичной покупки.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3.2. Карта лояльности оформляется в ЮТД, в меню «РМК», вводом данных покупателя по</w:t>
      </w:r>
      <w:r>
        <w:rPr>
          <w:shd w:fill="auto" w:val="clear"/>
        </w:rPr>
        <w:t xml:space="preserve"> наименованию карты лояльности «Первый»: ФИО, пол,  дата рождения, e-mail адрес, номер телефона, согласие на получение e-mail, SMS- или Telegram-  рассылок.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>
          <w:shd w:fill="auto" w:val="clear"/>
        </w:rPr>
        <w:t>3.3. Физическое лицо, которое предоставило данные и подписало Анкету (персональные данные) владельца карты лояльности согласно Приложению 1 и согласия на обработку персональных данных, а также назвало работнику ювелирного магазина-салона SMS-код, полученный на указанный номер телефона, ста</w:t>
      </w:r>
      <w:r>
        <w:rPr/>
        <w:t>новится участником дисконтной программы «Первый» «Бриллианты Якутии», и на него будет распространяться действие настоящего Положения со всеми периодически вносимыми в них изменениями и дополнениями.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Подписывая анкету владельца, каждый покупатель подтверждает свое согласие на использование предоставленной информации АО «Комдрагметалл РС(Я)» в маркетинговых </w:t>
      </w:r>
      <w:r>
        <w:rPr>
          <w:shd w:fill="auto" w:val="clear"/>
        </w:rPr>
        <w:t xml:space="preserve">или рекламных целях.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>
          <w:shd w:fill="auto" w:val="clear"/>
        </w:rPr>
        <w:t xml:space="preserve">3.4. Владельцам дисконтных карт, утвержденных приказом №02-110п от 22.04.2022г., предоставляется право стать участниками Программы лояльности «Первый» при выполнении ими условий п.3.3.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>
          <w:color w:val="000000"/>
          <w:sz w:val="24"/>
          <w:szCs w:val="24"/>
          <w:u w:val="none"/>
          <w:shd w:fill="auto" w:val="clear"/>
        </w:rPr>
        <w:t xml:space="preserve">3.5.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Для вступления в Программу лояльности «Первый» на сайте diamondsofyakutia.ru или в мобильном приложении, покупатель при регистрации указывает номер мобильного телефона и вводит SMS-код, полученный на этот номер, тем самым давая согласие на </w:t>
      </w:r>
      <w:hyperlink r:id="rId2">
        <w:r>
          <w:rPr>
            <w:rStyle w:val="-"/>
            <w:color w:val="000000"/>
            <w:sz w:val="24"/>
            <w:szCs w:val="24"/>
            <w:u w:val="none"/>
            <w:shd w:fill="auto" w:val="clear"/>
          </w:rPr>
          <w:t>обработку персональных данных</w:t>
        </w:r>
      </w:hyperlink>
      <w:r>
        <w:rPr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и принимая условия </w:t>
      </w:r>
      <w:hyperlink r:id="rId3">
        <w:r>
          <w:rPr>
            <w:rStyle w:val="-"/>
            <w:color w:val="000000"/>
            <w:sz w:val="24"/>
            <w:szCs w:val="24"/>
            <w:u w:val="none"/>
            <w:shd w:fill="auto" w:val="clear"/>
          </w:rPr>
          <w:t>пользовательского соглашения.</w:t>
        </w:r>
      </w:hyperlink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3.6. Карта лояльности постоянного покупателя числовая с уникальным номером, бездокументарная. Наименование карты лояльности - «Первый». Ввод через Справочник в Системе лояльности ЮТД. генерирование номеров в заданном диапазоне. 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/>
        <w:t>3.7. Вид карты лояльности — бонусная накопительная. Схема накопления карты «Первый»: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>- 5% от суммы покупки (розничная стоимость за вычетом действующей скидки), без учета оплаты бонусами, при приобретении  ювелирного изделия;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>
          <w:shd w:fill="auto" w:val="clear"/>
        </w:rPr>
        <w:t xml:space="preserve">- 5% от суммы </w:t>
      </w:r>
      <w:r>
        <w:rPr/>
        <w:t>по</w:t>
      </w:r>
      <w:r>
        <w:rPr>
          <w:shd w:fill="auto" w:val="clear"/>
        </w:rPr>
        <w:t>купки (розничная стоимость за вычетом действующей скидки), без учета оплаты бонусами, при приобретении  сертифицированного бриллианта;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>- зачисление 1000 бонусов за регистрацию в дисконтной программе «Первый»;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>- зачисление 3000 бонусов на День Рождения.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3.8. Оплата бонусами производится на сумму, не более, чем </w:t>
      </w:r>
      <w:r>
        <w:rPr>
          <w:shd w:fill="auto" w:val="clear"/>
        </w:rPr>
        <w:t xml:space="preserve"> 10% </w:t>
      </w:r>
      <w:r>
        <w:rPr/>
        <w:t>от покупной (розничная стоимость за вычетом действующей скидки) стоимости товара.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3.9.  ЮТД производит учет остатка неиспользованных бонусов.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3.10. Одно лицо может получить только одну карту лояльности.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3.11. Карта лояльности выдается вне зависимости от суммы и вида товара покупки и не требует дополнительной активации.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/>
        <w:ind w:left="0" w:right="0" w:firstLine="720"/>
        <w:jc w:val="center"/>
        <w:rPr>
          <w:b/>
          <w:bCs/>
        </w:rPr>
      </w:pPr>
      <w:r>
        <w:rPr>
          <w:b/>
          <w:bCs/>
        </w:rPr>
        <w:t>4. Накопление и использование бонусов «Первый».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4.1. Участник программы имеет право на зачисление на счет карты лояльности</w:t>
      </w:r>
      <w:r>
        <w:rPr>
          <w:shd w:fill="auto" w:val="clear"/>
        </w:rPr>
        <w:t xml:space="preserve"> 5% от суммы покупки (розничной стоимости за вычетом действующей скидки) ювелирного или сувенирного изделия, 5% от покупки (розничной стоимости за вычетом действующей скидки) сертифицированного бриллианта. Продолжительность действия бонусов — 360 дней с момента начисления.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>4.2. Участник программы имеет право на зачисление 1000 бонусов за регистрацию в дисконтной программе «Первый». Продолжительность действия бонусов — 360 дней с момента начисления.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>4.3. Участник программы имеет право на зачисление 3000 бонусов на День Рождения. Продолжительность действия бонусов — 7 дней до даты рождения и 14 дней после даты рождения.</w:t>
      </w:r>
    </w:p>
    <w:p>
      <w:pPr>
        <w:pStyle w:val="Normal"/>
        <w:spacing w:lineRule="auto" w:line="264"/>
        <w:ind w:left="0" w:right="0"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>4.2. При покупке подарочных сертификатов бонусы не зачисляются.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4.3. Бонусы исчисляются рублями: 1 бонус = 1 рубль.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4.4. Сумму начисления бонусов участник программы может узнать при предъявлении личного документа или номера мобильного телефона у продавца любого ювелирного магазина-салона ювелирной сети «Бриллианты Якутии».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4.5. Участник программы имеет право на оплату покупки имеющимися бонусами текущей покупки, но не более 10% от покупной (розничной стоимость за вычетом действующей скидки) стоимости товара.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4.6. 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Бонус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ы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 могут не списываться при покупке отдельных товаров, 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определенных АО «Комдрагметалл РС(Я)», товаров,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 реализуемых со скидкой, по сниженным ценам. Списки товаров, при покупке которых не происходит списание Бонус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ов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, представлены на сайте www.комдрагметалл.рф.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4.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7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. Накопление бонусов при применении оплаты части товара бонусами исчисляется от суммы оплаты денежными средствами и подарочными сертификатами.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4.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8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. Остатки бонусов не сгорают в течение срока своего действия.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4.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9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. Оплата бонусами активируется в ЮТД кодом, поступившим на телефонный номер покупателя.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4.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10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lang w:val="ru-RU" w:eastAsia="zh-CN" w:bidi="hi-IN"/>
        </w:rPr>
        <w:t>. Оплата бонусами при покупке в интернет-магазине АО Комдрагметалл РС(Я)» «Бриллианты Якутии» активируется в личном кабинете покупателя  кодом, поступившим на телефонный номер покупателя.</w:t>
      </w:r>
    </w:p>
    <w:p>
      <w:pPr>
        <w:pStyle w:val="Normal"/>
        <w:spacing w:lineRule="auto" w:line="264"/>
        <w:ind w:left="0" w:right="0" w:firstLine="720"/>
        <w:jc w:val="both"/>
        <w:rPr>
          <w:strike/>
          <w:u w:val="none"/>
        </w:rPr>
      </w:pPr>
      <w:r>
        <w:rPr>
          <w:strike/>
          <w:u w:val="none"/>
        </w:rPr>
      </w:r>
    </w:p>
    <w:p>
      <w:pPr>
        <w:pStyle w:val="Normal"/>
        <w:spacing w:lineRule="auto" w:line="264"/>
        <w:ind w:left="0" w:right="0" w:firstLine="720"/>
        <w:jc w:val="center"/>
        <w:rPr>
          <w:b/>
          <w:bCs/>
        </w:rPr>
      </w:pPr>
      <w:r>
        <w:rPr>
          <w:b/>
          <w:bCs/>
        </w:rPr>
        <w:t>5. Персональные данные.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5.1. Обработка анкеты (персональных данных) владельца карты лояльности осуществляется с согласия субъекта персональных данных, с соблюдением принципов и правил, предусмотренных законодательством РФ.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Персональные данные владельцев карт лояльности могут обрабатываются на электронных носителях в ЮТД.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Доступ к персональным данным имеют все работники магазина-салона ювелирной сети «Бриллианты Якутии». Лица, получившие доступ к персональным данным владельцев  карт лояльности, обязаны соблюдать режим конфиденциальности.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Срок хранения персональных данных владельцев карт лояльности – до 31.12.2026г. (срок действия дисконтной программы).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5.2. Выполнив п. 3.3. и</w:t>
      </w:r>
      <w:r>
        <w:rPr>
          <w:shd w:fill="auto" w:val="clear"/>
        </w:rPr>
        <w:t xml:space="preserve"> п.3.4. настоящего Положения, владелец карты лояльности  добровольно предоставляет Согласие для обработки свои персональные данные, включая информацию о фамилии, имени, отчестве, дате рождения, контактных телефонах, e-mail адресе.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>
          <w:shd w:fill="auto" w:val="clear"/>
        </w:rPr>
        <w:t>В случае указания ложных (неточных</w:t>
      </w:r>
      <w:r>
        <w:rPr/>
        <w:t xml:space="preserve">, недостоверных) сведений о себе в анкете, а также при несвоевременном изменении устаревших сведений, владелец дисконтной карты самостоятельно несет риск любых негативных последствий, связанных с такими неверными сведениями.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5.3. АО «Комдрагметалл РС(Я)» вправе в одностороннем порядке по своему усмотрению изменять условия и порядок предоставления скидок и размеров бонусов. В этом случае вносятся изменения в настоящее Положение, а также размещается соответствующее сообщение на сайте АО «Комдрагметалл РС(Я)» - www.комдрагме</w:t>
      </w:r>
      <w:r>
        <w:rPr>
          <w:shd w:fill="auto" w:val="clear"/>
        </w:rPr>
        <w:t>талл.рф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shd w:fill="auto" w:val="clear"/>
          <w:lang w:val="ru-RU" w:eastAsia="zh-CN" w:bidi="hi-IN"/>
        </w:rPr>
        <w:t>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5.4. АО «Комдрагметалл РС(Я)» вправе с согласия владельца карты лояльности направлять сообщения информационного и рекламного характера обладателю карты лояльности. 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5.5. Субъект персональных данных имеет право на получение сведений, а также обрабатываемых персональных данных относительно самого себя. Субъект персональных данных вправе требовать от АО «Комдрагметалл РС(Я)»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 xml:space="preserve">Для изменения сведений, указанных в анкете, а также для прекращения АО «Комдрагметалл РС(Я)» обработки персональных данных, владельцу карты лояльности необходимо оставить заявку в любом магазине-салоне ювелирной сети «Бриллианты Якутии» или на сайте – </w:t>
      </w:r>
      <w:hyperlink r:id="rId4">
        <w:r>
          <w:rPr/>
          <w:t>www.комдрагметалл.рф</w:t>
        </w:r>
      </w:hyperlink>
      <w:r>
        <w:rPr/>
        <w:t>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264"/>
        <w:jc w:val="center"/>
        <w:rPr>
          <w:b/>
          <w:bCs/>
        </w:rPr>
      </w:pPr>
      <w:r>
        <w:rPr>
          <w:b/>
          <w:bCs/>
        </w:rPr>
        <w:t>6. Прочие условия.</w:t>
      </w:r>
    </w:p>
    <w:p>
      <w:pPr>
        <w:pStyle w:val="Normal"/>
        <w:spacing w:lineRule="auto" w:line="264"/>
        <w:ind w:left="0" w:right="0" w:firstLine="708"/>
        <w:jc w:val="both"/>
        <w:rPr/>
      </w:pPr>
      <w:r>
        <w:rPr/>
        <w:t xml:space="preserve">6.1. </w:t>
      </w:r>
      <w:r>
        <w:rPr>
          <w:shd w:fill="auto" w:val="clear"/>
        </w:rPr>
        <w:t>Дисконтные карты, ранее выданные АО «Комдрагметалл РС(Я)» согласно «Положения  о порядке выдачи и использования дисконтных карт ювелирной сети «Бриллианты Якутии» от 22.04.2022г., прекращают свое действие и не переносятся на карты лояльности и на них не распространяются условия дисконтной программы «Бриллианты Якутии» «Первый» и использования  карт лояльности согласно настоящему Положению.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6.2. АО «Комдрагметалл РС(Я)» оставляет за собой право вносить изменения и дополнения в настоящее Положение.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/>
        <w:t>6.3. Бонусная программа может быть продлена и/или приостановлена решением АО «Комдрагметалл РС(Я)».</w:t>
      </w:r>
      <w:r>
        <w:br w:type="page"/>
      </w:r>
    </w:p>
    <w:p>
      <w:pPr>
        <w:pStyle w:val="Normal"/>
        <w:jc w:val="righ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Приложение 1</w:t>
      </w:r>
    </w:p>
    <w:p>
      <w:pPr>
        <w:pStyle w:val="Normal"/>
        <w:jc w:val="righ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к «Положению о системе поощрения постоянных покупателей ювелирной сети «Бриллианты Якутии», </w:t>
      </w:r>
    </w:p>
    <w:p>
      <w:pPr>
        <w:pStyle w:val="Normal"/>
        <w:jc w:val="righ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утвержденное приказом № 33 ОД/2 от 03.02.2025г.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Анкета владельца карты лояльности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Уважаемый покупатель!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Пожалуйста, заполните анкету, чтобы мы могли оформить для вас карту лояльности: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 Ваши данные: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Фамилия: ________________________________________________________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Имя: ____________________________________________________________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Отчество (если есть): ______________________________________________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Дата рождения: ___________________________________________________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Контактный телефон: ______________________________________________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Электронная почта: ________________________________________________ 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Ваш пол:</w:t>
      </w:r>
    </w:p>
    <w:tbl>
      <w:tblPr>
        <w:tblW w:w="2490" w:type="dxa"/>
        <w:jc w:val="left"/>
        <w:tblInd w:w="0" w:type="dxa"/>
        <w:tblLayout w:type="fixed"/>
        <w:tblCellMar>
          <w:top w:w="0" w:type="dxa"/>
          <w:left w:w="2" w:type="dxa"/>
          <w:bottom w:w="0" w:type="dxa"/>
          <w:right w:w="0" w:type="dxa"/>
        </w:tblCellMar>
      </w:tblPr>
      <w:tblGrid>
        <w:gridCol w:w="600"/>
        <w:gridCol w:w="1889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Мужской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3. Согласие на получение информации о скидках и акциях: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" w:type="dxa"/>
          <w:bottom w:w="0" w:type="dxa"/>
          <w:right w:w="0" w:type="dxa"/>
        </w:tblCellMar>
      </w:tblPr>
      <w:tblGrid>
        <w:gridCol w:w="576"/>
        <w:gridCol w:w="8778"/>
      </w:tblGrid>
      <w:tr>
        <w:trPr/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auto" w:val="clear"/>
              </w:rPr>
              <w:t xml:space="preserve">Да, я хочу </w:t>
            </w:r>
            <w:bookmarkStart w:id="1" w:name="__DdeLink__727_494887281_Копия_1"/>
            <w:r>
              <w:rPr>
                <w:sz w:val="26"/>
                <w:szCs w:val="26"/>
                <w:shd w:fill="auto" w:val="clear"/>
              </w:rPr>
              <w:t>получать по СМС и электронной почте уведомления, рассылки и спецпредложения</w:t>
            </w:r>
            <w:bookmarkEnd w:id="1"/>
            <w:r>
              <w:rPr>
                <w:sz w:val="26"/>
                <w:szCs w:val="26"/>
                <w:shd w:fill="auto" w:val="clear"/>
              </w:rPr>
              <w:t>.</w:t>
            </w:r>
          </w:p>
        </w:tc>
      </w:tr>
      <w:tr>
        <w:trPr/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fill="auto" w:val="clear"/>
              </w:rPr>
              <w:t>Нет, не хочу получать по СМС и электронной почте уведомления, рассылки и спецпредложения.</w:t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4. Согласие на обработку и передачу персональных данных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4"/>
          <w:szCs w:val="24"/>
        </w:rPr>
        <w:t xml:space="preserve">Настоящим от своего имени, своей волей и в своих интересах сознательно я даю согласие </w:t>
      </w:r>
      <w:bookmarkStart w:id="2" w:name="__DdeLink__123_3394156418"/>
      <w:r>
        <w:rPr>
          <w:sz w:val="24"/>
          <w:szCs w:val="24"/>
        </w:rPr>
        <w:t>АО «Комдрагметалл РС (Я)»</w:t>
      </w:r>
      <w:bookmarkEnd w:id="2"/>
      <w:r>
        <w:rPr>
          <w:sz w:val="24"/>
          <w:szCs w:val="24"/>
        </w:rPr>
        <w:t xml:space="preserve">, расположенному по адресу: </w:t>
      </w:r>
      <w:r>
        <w:rPr>
          <w:rFonts w:eastAsia="Tahoma" w:cs="Noto Sans Devanagari"/>
          <w:color w:val="000000"/>
          <w:spacing w:val="0"/>
          <w:kern w:val="0"/>
          <w:sz w:val="24"/>
          <w:szCs w:val="24"/>
          <w:lang w:val="ru-RU" w:eastAsia="zh-CN" w:bidi="hi-IN"/>
        </w:rPr>
        <w:t>677018, Республика Саха (Якутия), г. Якутск, ул. Кирова, 12,</w:t>
      </w:r>
      <w:r>
        <w:rPr>
          <w:sz w:val="24"/>
          <w:szCs w:val="24"/>
        </w:rPr>
        <w:t xml:space="preserve">  на обработку моих персональных данных: фамилия, имя, отчество, контактный телефон, адрес электронной почты (e-mail),  дата рождения, пол для заключения и исполнения договоров купли-продажи, участия в бонусной программе, информирования об обновлении товаров, специальных предложениях, ценах, мероприятиях, проводимых АО «Комдрагметалл РС (Я)» и осуществления иных маркетинговых мероприятий.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Разрешаю обработку моих персональных данных включая и без ограничения: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ahoma" w:cs="Noto Sans Devanagari"/>
          <w:color w:val="000000"/>
          <w:spacing w:val="0"/>
          <w:kern w:val="0"/>
          <w:sz w:val="24"/>
          <w:szCs w:val="24"/>
          <w:lang w:val="ru-RU" w:eastAsia="zh-CN" w:bidi="hi-IN"/>
        </w:rPr>
        <w:t>Настоящее согласие предоставляется с момента заполнения настоящей анкеты и  действует до момента его отзыва. </w:t>
      </w:r>
      <w:bookmarkStart w:id="3" w:name="__DdeLink__50_1866201348"/>
      <w:r>
        <w:rPr>
          <w:rFonts w:eastAsia="Tahoma" w:cs="Noto Sans Devanagari"/>
          <w:color w:val="000000"/>
          <w:spacing w:val="0"/>
          <w:kern w:val="0"/>
          <w:sz w:val="24"/>
          <w:szCs w:val="24"/>
          <w:lang w:val="ru-RU" w:eastAsia="zh-CN" w:bidi="hi-IN"/>
        </w:rPr>
        <w:t xml:space="preserve"> Согласие может быть отозвано путем направления, подписанного мною или моим законным представителем заявления об отзыве согласия, по адресу: </w:t>
      </w:r>
      <w:bookmarkStart w:id="4" w:name="__DdeLink__121_3394156418"/>
      <w:r>
        <w:rPr>
          <w:rFonts w:eastAsia="Tahoma" w:cs="Noto Sans Devanagari"/>
          <w:color w:val="000000"/>
          <w:spacing w:val="0"/>
          <w:kern w:val="0"/>
          <w:sz w:val="24"/>
          <w:szCs w:val="24"/>
          <w:lang w:val="ru-RU" w:eastAsia="zh-CN" w:bidi="hi-IN"/>
        </w:rPr>
        <w:t>677018, г. Якутск, ул. Кирова, 12</w:t>
      </w:r>
      <w:bookmarkEnd w:id="3"/>
      <w:r>
        <w:rPr>
          <w:rFonts w:eastAsia="Tahoma" w:cs="Noto Sans Devanagari"/>
          <w:color w:val="000000"/>
          <w:spacing w:val="0"/>
          <w:kern w:val="0"/>
          <w:sz w:val="24"/>
          <w:szCs w:val="24"/>
          <w:lang w:val="ru-RU" w:eastAsia="zh-CN" w:bidi="hi-IN"/>
        </w:rPr>
        <w:t>,</w:t>
      </w:r>
      <w:bookmarkEnd w:id="4"/>
      <w:r>
        <w:rPr>
          <w:rFonts w:eastAsia="Tahoma" w:cs="Noto Sans Devanagari"/>
          <w:color w:val="000000"/>
          <w:spacing w:val="0"/>
          <w:kern w:val="0"/>
          <w:sz w:val="24"/>
          <w:szCs w:val="24"/>
          <w:lang w:val="ru-RU" w:eastAsia="zh-CN" w:bidi="hi-IN"/>
        </w:rPr>
        <w:t xml:space="preserve"> АО «Комдрагметалл РС(Я)».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Подпись: ___________________________ 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Дата: ______________________________  </w:t>
      </w:r>
    </w:p>
    <w:p>
      <w:pPr>
        <w:pStyle w:val="Normal"/>
        <w:spacing w:lineRule="auto" w:line="264"/>
        <w:ind w:left="0" w:right="0" w:hanging="0"/>
        <w:jc w:val="center"/>
        <w:rPr/>
      </w:pPr>
      <w:r>
        <w:rPr/>
      </w:r>
    </w:p>
    <w:p>
      <w:pPr>
        <w:pStyle w:val="Normal"/>
        <w:ind w:left="0" w:right="0" w:firstLine="720"/>
        <w:jc w:val="right"/>
        <w:rPr/>
      </w:pPr>
      <w:r>
        <w:rPr/>
      </w:r>
    </w:p>
    <w:sectPr>
      <w:type w:val="nextPage"/>
      <w:pgSz w:w="11906" w:h="16838"/>
      <w:pgMar w:left="1701" w:right="850" w:gutter="0" w:header="0" w:top="567" w:footer="0" w:bottom="71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5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585zolotoy.ru/soglasie_na_obrabotku_personalnyh_dannyh/" TargetMode="External"/><Relationship Id="rId3" Type="http://schemas.openxmlformats.org/officeDocument/2006/relationships/hyperlink" Target="https://www.585zolotoy.ru/the-terms-of-the-offer/" TargetMode="External"/><Relationship Id="rId4" Type="http://schemas.openxmlformats.org/officeDocument/2006/relationships/hyperlink" Target="http://www.komdragmetall.c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6068</TotalTime>
  <Application>LibreOffice/7.5.2.1$Linux_X86_64 LibreOffice_project/50$Build-1</Application>
  <AppVersion>15.0000</AppVersion>
  <Pages>5</Pages>
  <Words>1564</Words>
  <Characters>11355</Characters>
  <CharactersWithSpaces>12894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2025-04-15T16:20:17Z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